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bookmarkStart w:id="0" w:name="_GoBack"/>
      <w:bookmarkEnd w:id="0"/>
      <w:r w:rsidRPr="00B37DB2">
        <w:rPr>
          <w:rFonts w:ascii="Times New Roman" w:eastAsia="Times New Roman" w:hAnsi="Times New Roman" w:cs="Times New Roman"/>
          <w:b/>
          <w:bCs/>
          <w:sz w:val="36"/>
          <w:szCs w:val="36"/>
          <w:lang w:eastAsia="ru-RU"/>
        </w:rPr>
        <w:t>Акт ревизионной комиссии ТСЖ «Кропоткина 116»</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результатам проверки финансово-хозяйственной деятельности</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Товарищества </w:t>
      </w:r>
      <w:r w:rsidRPr="00B37DB2">
        <w:rPr>
          <w:rFonts w:ascii="Times New Roman" w:eastAsia="Times New Roman" w:hAnsi="Times New Roman" w:cs="Times New Roman"/>
          <w:b/>
          <w:bCs/>
          <w:sz w:val="27"/>
          <w:szCs w:val="27"/>
          <w:lang w:eastAsia="ru-RU"/>
        </w:rPr>
        <w:t>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 Новосибирск 29.05.2015г.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 основании ст. 16.5. Устава Товарищества и ст.150 п.3.1. Жилищного Кодекса Российской Федерации проведена ревизия финансово-хозяйственной деятельности ТСЖ «Кропоткина 116» за период с 01.01.2014г. по 31.12.2014г. комиссией в составе: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Председателя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Грибанова П.В.,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Членов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Огородовой И.В.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Юдиной 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Ревизия проводилась с 23 марта 2015г. по 12 мая 2015г. по следующим направлениям: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Общий порядок ведения бухгалтерского и налогового учета финансово-хозяйственной деятельности ТСЖ и его достоверность 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Нормативно-распорядительные документы Товарищества, законность финансово-хозяйственной деятельности ТСЖ и достоверность данных по ней за период с 01.01.2014г. по 31.12.2014г.</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Общие сведения.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Полное наименование: Товарищество Собственников жилья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Местонахождение Товарищества - 630105, Россия, г. Новосибирск,</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ул. Кропоткина, дом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Общая площадь дома _13187,1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том числе: жилых помещений 12956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(из них в муниципальной собственности 397,3 кв.м.(8 квартир))</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нежилых помещений 217,6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(из них в муниципальной собственности 217,6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Год постройки - 1990 г., материал - кирпич</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Площадь лестничных клеток 2434,8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Площадь общих коридоров и МОП 1115,3кв.м.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Кол-во этажей -10, подъездов 6, квартир 236, прописано - 606чел.</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Согласно п. 2.1. Устава, Товарищество собственников жилья «Кропоткина 116» - основанное на членстве добровольное объединение собственников помещений </w:t>
      </w:r>
      <w:r w:rsidRPr="00B37DB2">
        <w:rPr>
          <w:rFonts w:ascii="Times New Roman" w:eastAsia="Times New Roman" w:hAnsi="Times New Roman" w:cs="Times New Roman"/>
          <w:sz w:val="27"/>
          <w:szCs w:val="27"/>
          <w:lang w:eastAsia="ru-RU"/>
        </w:rPr>
        <w:lastRenderedPageBreak/>
        <w:t>в многоквартирном жилом доме № 116 по ул. Кропоткина для совместного управления общим имуществом в многоквартирном доме, обеспечения эксплуатации, владения, пользования и в установленных законодательством пределах распоряжения этим имуществом, предоставления коммунальных услуг лицам, пользующимся помещениями в данном многоквартирном доме, а также для осуществления иной деятельности, направленной на достижение целей управления многоквартирным домом с оптимальным расходованием средств на эти цели.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Высшим органом управления Товарищества согласно п. 13.1. Устава ТСЖ является общее собрание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Общее руководство деятельностью Товарищества осуществляет Правление Товарищества, которое принимает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проверяемом периоде обязанности председателя Правления исполнял Филипенко А.А.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Члены правления, избранные общим собранием: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Протасова Т.Н., Петров В.П., Седых В.И., Ментюков Е.Е., Николаев Е.Е., Ермохин В.В., Сираев Р.Х., Фильчакова О.С., Вододохова Е.Ю., Даргиль А.А. (Тимошкина О.Н.)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Ответственными за финансово-хозяйственную деятельность Товарищества за проверяемый период являются: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Правления: Филипенко А. А.; бухгалтер: Кладова Г.И.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Объем ревизионной проверки.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проверка включала в себя проверку на выборочной основе подтверждений числовых данных и пояснений, содержащихся в бухгалтерском учете финансово-хозяйственной деятельности.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ходе проверки установлено, что при ведении финансово-хозяйственной деятельности Товарищество руководствуется нормами Гражданского кодекса РФ, Налогового кодекса РФ и иных законодательных актов РФ.</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Основным источником поступления денежных средств для Товарищества на отчетный период является квартирная плата жильцов.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w:t>
      </w:r>
      <w:r w:rsidRPr="00B37DB2">
        <w:rPr>
          <w:rFonts w:ascii="Times New Roman" w:eastAsia="Times New Roman" w:hAnsi="Times New Roman" w:cs="Times New Roman"/>
          <w:b/>
          <w:bCs/>
          <w:sz w:val="27"/>
          <w:szCs w:val="27"/>
          <w:lang w:eastAsia="ru-RU"/>
        </w:rPr>
        <w:t>. Общий порядок ведения бухгалтерского и налогового учета финансово-хозяйственной деятельности ТСЖ и его достоверность 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На проверку были представлены следующие документы: штатное расписание, кадровые приказы о приёме на работу, о предоставлении отпуска, об увольнении, расчётные ведомости по зарплате, справки 2НДФЛ, отчёты в Пенсионный фонд РСВ-1 (поквартальные), выписки по банковским счетам, </w:t>
      </w:r>
      <w:r w:rsidRPr="00B37DB2">
        <w:rPr>
          <w:rFonts w:ascii="Times New Roman" w:eastAsia="Times New Roman" w:hAnsi="Times New Roman" w:cs="Times New Roman"/>
          <w:sz w:val="27"/>
          <w:szCs w:val="27"/>
          <w:lang w:eastAsia="ru-RU"/>
        </w:rPr>
        <w:lastRenderedPageBreak/>
        <w:t>авансовые отчёты, кассовая книга, приходные и расходные ордера, договоры подряда, акты на списание материальных ценностей, главная книга, регистры бухгалтерского учёта, журналы-ордера.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Все представленные для проверки документы оформлены надлежащим образом.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ТСЖ «Кропоткина 116» применяет упрощённую систему налогообложения «доходы минус расходы». Ведение бухгалтерского учёта осуществляется с применением журнально-ордерной системы, также применяются самостоятельно разработанные регистры, что не противоречит требованиям Федерального закона от 6 декабря 2011 г. № 402-ФЗ "О бухгалтерском учете" (с изменениями и дополнениями). Записи в регистры бухгалтерского учёта сделаны на основании первичных документов, фиксирующих факт совершения хозяйственной операции. Кассовая книга ведётся в соответствии с соответствующими нормативными документами (Положение о порядке ведения кассовых операций с банкнотами и монетой Банка России на территории Российской Федерации, утвержденное Банком России 12.10.2011 № 373П, Порядок ведения кассовых операций, утверждённый Указанием Банка России от 11.03.2014 № 3210-У). Денежные средства выдаются подотчёт только после представленного отчёта за предыдущие выданные суммы и возврата неиспользованных сумм.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Обслуживающий дом персонал оформлен в строгом соответствии с требованиями трудового законодательства. На каждого сотрудника имеются все необходимые документы. Имеется штатное расписание. Согласно Уставу Товарищества, Председатель правления назначает оклады персоналу в пределах суммы, указанной в смете.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Суммы выплат, начисленные ТСЖ в пользу физических лиц по трудовым договорам и договорам подряда за 2014 год, составили 1340466 рублей; НДФЛ 174261 руб.; страховые взносы в пенсионный фонд – 268093,20 руб.; страховые взносы по травматизму – 2680,93 руб. Показатели регистров бухгалтерского учета по сч. 69 и 70 соответствуют суммам, отраженным в расчётах по начисленным и уплаченным взносам, представленным по форме РСВ-1 за 2014 год. Расхождений не выявлено.</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Проверены и сопоставлены показатели, отраженные в ведомости по учёту доходов, налога на доходы физических лиц и справок 2НДФЛ. Нарушений не выявлено. Отчёты 2НДФЛ и РСВ-1 (квартальные) представлялись в контролирующие органы в сроки, установленные действующим</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законодательством. Перечисления налоговых платежей и взносов осуществлялись своевременно, за исключением одного случая: НДФЛ за апрель 2014г. перечислен несвоевременно, задержка составила 7 дней. Данное событие следует квалифицировать как нарушение ст. 123 НК РФ.</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При сверке сведений, указанных в формах РСВ-1, с кадровыми приказами установлено, что в случае предоставления административного отпуска (на несколько дней) пенсионный стаж рассчитывается неверно. Также имел место случай неверного указания страхового стажа у сотрудника, работающего по договору подряда.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Рекомендуется вести учёт доходов накопительно (с начала налогового периода), соблюдать все необходимые требования (заполнять соответствующие </w:t>
      </w:r>
      <w:r w:rsidRPr="00B37DB2">
        <w:rPr>
          <w:rFonts w:ascii="Times New Roman" w:eastAsia="Times New Roman" w:hAnsi="Times New Roman" w:cs="Times New Roman"/>
          <w:sz w:val="27"/>
          <w:szCs w:val="27"/>
          <w:lang w:eastAsia="ru-RU"/>
        </w:rPr>
        <w:lastRenderedPageBreak/>
        <w:t>реквизиты) при составлении табеля рабочего времени.</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По мнению членов ревизионной комиссии по результатам проверки финансово-хозяйственной деятельности ТСЖ за период с 01.01.2014г. по 31.12.2014г. бухгалтерский учет Товарищества ведется таким образом, чтобы обеспечить достоверное отражение доходов и расходов Товарищества исходя из требований Федерального закона «О бухгалтерском учете» и нормативных актов Минфина РФ.</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1.1. </w:t>
      </w:r>
      <w:r w:rsidRPr="00B37DB2">
        <w:rPr>
          <w:rFonts w:ascii="Times New Roman" w:eastAsia="Times New Roman" w:hAnsi="Times New Roman" w:cs="Times New Roman"/>
          <w:b/>
          <w:bCs/>
          <w:sz w:val="27"/>
          <w:szCs w:val="27"/>
          <w:lang w:eastAsia="ru-RU"/>
        </w:rPr>
        <w:t>Расчетный счет 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9450" w:type="dxa"/>
        <w:tblCellMar>
          <w:top w:w="105" w:type="dxa"/>
          <w:left w:w="105" w:type="dxa"/>
          <w:bottom w:w="105" w:type="dxa"/>
          <w:right w:w="105" w:type="dxa"/>
        </w:tblCellMar>
        <w:tblLook w:val="04A0" w:firstRow="1" w:lastRow="0" w:firstColumn="1" w:lastColumn="0" w:noHBand="0" w:noVBand="1"/>
      </w:tblPr>
      <w:tblGrid>
        <w:gridCol w:w="2586"/>
        <w:gridCol w:w="1579"/>
        <w:gridCol w:w="3666"/>
        <w:gridCol w:w="1619"/>
      </w:tblGrid>
      <w:tr w:rsidR="00B37DB2" w:rsidRPr="00B37DB2" w:rsidTr="00B37DB2">
        <w:trPr>
          <w:trHeight w:val="30"/>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остаток на 01.01.2014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224020,85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приход всего</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9125504,65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расход всего</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8054899,20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Возмещение расходов жильцами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8903316,05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выдано в подотчет Филипенко А.А.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Комета</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32974,90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Зарплата на карточки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817583,00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школа №17</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37670,70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воду</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910000,00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аренду ИП Бабаян А.И.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32000,00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э/энергию</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190000,00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Престиж интернет</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12000,00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теплоэнергию</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2950000,00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Новотелеком</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гвснабжение</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380000,00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Сибсети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38400,00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обслуж. лифтов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319610,00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Ростелеком</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17500,00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освидетельствование лифтов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60480,00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(пенсионный фонд)</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20153,00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вывоз ТБО</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103620,00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(лифты)</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25490,00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Расчеты по обслуживанию приборов учета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33000,00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домофон</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540,00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СЭС</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23540,90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Услуги банка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20073,90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Подоходный налог с з/п</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173000,00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Пенсионный фонд</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270000,00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Платежи по страх </w:t>
            </w:r>
            <w:r w:rsidRPr="00B37DB2">
              <w:rPr>
                <w:rFonts w:ascii="Times New Roman" w:eastAsia="Times New Roman" w:hAnsi="Times New Roman" w:cs="Times New Roman"/>
                <w:sz w:val="27"/>
                <w:szCs w:val="27"/>
                <w:lang w:eastAsia="ru-RU"/>
              </w:rPr>
              <w:lastRenderedPageBreak/>
              <w:t>(травматизм)</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2600,00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налог на доходы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35002,00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«Евросервис» (ремонт кровли 2,6 подъездов)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239372,7</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«Евросервис» - ремонт 6 подъезда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104144,00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«Евросервис» - ремонт пандуса, тротуар плитка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349651,00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Никитин А.А. - перегородки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136000,00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Никитин – изготовление и установка дверей металлических</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83200,00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Авангард (за контейнеры)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78000,00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Прочие поставщики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175481,70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итого</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9125504,65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8054899,20</w:t>
            </w:r>
          </w:p>
        </w:tc>
      </w:tr>
      <w:tr w:rsidR="00B37DB2" w:rsidRPr="00B37DB2" w:rsidTr="00B37DB2">
        <w:trPr>
          <w:trHeight w:val="30"/>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остаток на 31.12.2014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1294626,30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val="en-US" w:eastAsia="ru-RU"/>
        </w:rPr>
      </w:pPr>
      <w:r w:rsidRPr="00B37DB2">
        <w:rPr>
          <w:rFonts w:ascii="Times New Roman" w:eastAsia="Times New Roman" w:hAnsi="Times New Roman" w:cs="Times New Roman"/>
          <w:sz w:val="24"/>
          <w:szCs w:val="24"/>
          <w:lang w:val="en-US" w:eastAsia="ru-RU"/>
        </w:rPr>
        <w:t> </w:t>
      </w:r>
    </w:p>
    <w:p w:rsidR="00B37DB2" w:rsidRPr="00B37DB2" w:rsidRDefault="00B37DB2" w:rsidP="00B37DB2">
      <w:pPr>
        <w:spacing w:after="0" w:line="210" w:lineRule="atLeast"/>
        <w:ind w:right="23"/>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Все платежи были произведены в соответствии с выставленными счетами, заключенными договорами и декларациями по налогам.</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Просроченная задолженность отсутствует полностью. Расходование средств подтверждено финансовыми документами и проверено в выборочном порядке.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том числе: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9450" w:type="dxa"/>
        <w:tblCellMar>
          <w:top w:w="105" w:type="dxa"/>
          <w:left w:w="105" w:type="dxa"/>
          <w:bottom w:w="105" w:type="dxa"/>
          <w:right w:w="105" w:type="dxa"/>
        </w:tblCellMar>
        <w:tblLook w:val="04A0" w:firstRow="1" w:lastRow="0" w:firstColumn="1" w:lastColumn="0" w:noHBand="0" w:noVBand="1"/>
      </w:tblPr>
      <w:tblGrid>
        <w:gridCol w:w="482"/>
        <w:gridCol w:w="1297"/>
        <w:gridCol w:w="1366"/>
        <w:gridCol w:w="3424"/>
        <w:gridCol w:w="226"/>
        <w:gridCol w:w="2655"/>
      </w:tblGrid>
      <w:tr w:rsidR="00B37DB2" w:rsidRPr="00B37DB2" w:rsidTr="00B37DB2">
        <w:trPr>
          <w:trHeight w:val="90"/>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47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Расшифровка прочих поставщиков</w:t>
            </w:r>
          </w:p>
        </w:tc>
        <w:tc>
          <w:tcPr>
            <w:tcW w:w="2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дата</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сумма</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наименование расхода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поставщик</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28.01.2014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видеоанализ вент. канала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Союзтепломонтаж</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28.01.2014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1890,00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прожектор светодиодный</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Аудит безопасности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05.02.2014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7500,00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чистка вент. канала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Союзтепломонтаж</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20.03.2014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3680,00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08.04.2014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3849,10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08.04.2014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580,00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коронка по бетону</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Елохин Д.П.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13.05.2014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4303,00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напольное покрытие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Бином</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02.06.2014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1870,00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спецодежда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Сибирский стиль</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05.06.2014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Диал групп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24.06.2014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1876,00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Вариант-А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01.07.2014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3100,00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сварочного аппарата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Мастер-СБТ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16.09.2014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2819,20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19.09.2014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3622,60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штанга коричневая</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ТД Пломба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э/технич. испытания</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СтройЭнергоЦентр</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30.09.2014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5600,00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светильники с датчиком</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Аудит безопасности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02.10.2014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1803,30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15.10.2014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4794,60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манометры, 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16.10.2014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3979,89</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э/лампы LED шар П45</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1490,00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антивирус Kaspersky</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Софткей</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11.11.2014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476,01</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вывоз снега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КомплектСиб</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2640,00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NET Сервис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5930,00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жесткий диск</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Открытые технологии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4620,00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маршрутизатор</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Открытые технологии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оценка условий труда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РосЭкоАудит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обслуж. сайта по договору</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r w:rsidRPr="00B37DB2">
              <w:rPr>
                <w:rFonts w:ascii="Times New Roman" w:eastAsia="Times New Roman" w:hAnsi="Times New Roman" w:cs="Times New Roman"/>
                <w:sz w:val="27"/>
                <w:szCs w:val="27"/>
                <w:lang w:eastAsia="ru-RU"/>
              </w:rPr>
              <w:t>Рекл. мастерская АРС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13458,00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станок сверлильный</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Торговый дом С/зап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1600,00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Инфо-Сервис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3800,00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канц. товары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Принтерра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30"/>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ИТОГО</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175481,70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1.2. </w:t>
      </w:r>
      <w:r w:rsidRPr="00B37DB2">
        <w:rPr>
          <w:rFonts w:ascii="Times New Roman" w:eastAsia="Times New Roman" w:hAnsi="Times New Roman" w:cs="Times New Roman"/>
          <w:b/>
          <w:bCs/>
          <w:sz w:val="27"/>
          <w:szCs w:val="27"/>
          <w:lang w:eastAsia="ru-RU"/>
        </w:rPr>
        <w:t>Касса 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11055" w:type="dxa"/>
        <w:tblCellMar>
          <w:top w:w="105" w:type="dxa"/>
          <w:left w:w="105" w:type="dxa"/>
          <w:bottom w:w="105" w:type="dxa"/>
          <w:right w:w="105" w:type="dxa"/>
        </w:tblCellMar>
        <w:tblLook w:val="04A0" w:firstRow="1" w:lastRow="0" w:firstColumn="1" w:lastColumn="0" w:noHBand="0" w:noVBand="1"/>
      </w:tblPr>
      <w:tblGrid>
        <w:gridCol w:w="2590"/>
        <w:gridCol w:w="1591"/>
        <w:gridCol w:w="512"/>
        <w:gridCol w:w="2941"/>
        <w:gridCol w:w="3421"/>
      </w:tblGrid>
      <w:tr w:rsidR="00B37DB2" w:rsidRPr="00B37DB2" w:rsidTr="00B37DB2">
        <w:trPr>
          <w:trHeight w:val="22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bookmarkStart w:id="1" w:name="__Fieldmark__1308_2085402868"/>
            <w:bookmarkStart w:id="2" w:name="__Fieldmark__927_799036327"/>
            <w:bookmarkEnd w:id="1"/>
            <w:bookmarkEnd w:id="2"/>
            <w:r w:rsidRPr="00B37DB2">
              <w:rPr>
                <w:rFonts w:ascii="Times New Roman" w:eastAsia="Times New Roman" w:hAnsi="Times New Roman" w:cs="Times New Roman"/>
                <w:b/>
                <w:bCs/>
                <w:sz w:val="27"/>
                <w:szCs w:val="27"/>
                <w:lang w:eastAsia="ru-RU"/>
              </w:rPr>
              <w:t>остаток на 01.01.14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27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приход всего</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1028974,85</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расход всего</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1028974,85</w:t>
            </w:r>
          </w:p>
        </w:tc>
      </w:tr>
      <w:tr w:rsidR="00B37DB2" w:rsidRPr="00B37DB2" w:rsidTr="00B37DB2">
        <w:trPr>
          <w:trHeight w:val="9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в т.ч.</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в т.ч.</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 расчетного счета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594000,00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Зарплата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246830,00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подотчета Филипенко А.А.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434974,85</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выдано в подотчет Филипенко А.А.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680344,85</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договорам подряда всего:</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101800,00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9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71</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благоустройство двора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72</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73</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монтаж э/проводки, установка светильников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74</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75</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профилактика компьютеров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76</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77</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7300,00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78</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восстановление и монтаж э/проводки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79</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сварочные работы по замене стояков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41000,00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80</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бетонирование порогов в мусорокамерах</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2500,00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81</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уборка крупногабаритного мусора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82</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профилактика оргтехники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lastRenderedPageBreak/>
              <w:t>остаток на 31.12.14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jc w:val="righ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Кассовые операции в Товариществе оформляются в соответствии с действующим законодательством (надлежащим образом оформлены приходные и расходные кассовые ордера, ведомости), кассовая дисциплина соблюдается.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Согласно внутреннему приказу Товарищества неиспользованные подотчетные средства надлежит в конце месяца возвращать в кассу товарищества. Данное требование председателем Правления Филипенко А.А. соблюдалось.</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1.3. Авансовые отчеты ТСЖ «Кропоткина 116»</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Авансовые отчеты составлены в соответствии с требованиями оформления первичных документов, все расходы подтверждены кассовыми и товарными чеками. На строительные, сантехнические, хозяйственные материалы имеются соответствующим образом оформленные Акты списания, подписанные комиссией, утвержденной приказом.</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Анализ состояния расчётов (в том числе с основными поставщиками)</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Основными поставщиками энергоресурсов потребителям в МКД (многоквартирный дом) являются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ОАО «Сибирская энергетическая компания»(ОАО «СИБЭКО») - по теплоэнергии и горячей воде;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МУП г.Новосибирска «Горводоканал» - по холодной воде и водоотведению;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ОАО «Новосибирскэнергосбыт» - по электроэнергии.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 всеми поставщиками коммунальных услуг заключены соответствующие договоры. Счета на оплату предъявляются поставщиками ежемесячно согласно показаниям общедомовых приборов учета (показания передаются согласно договорам с 23 по 25 число каждого месяца).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Многоквартирный дом № 116 по ул.Кропоткина оснащен общедомовыми приборами по учету потребления энергоресурсов, что подтверждается актами допуска в эксплуатацию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горячему водоснабжению с 21.12.2010г. (Соглашение С-196 от 14.12.2010);</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холодному водоснабжению с 23.07.2010г. (Договор № 10873-Д);</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тепловой энергии с 21.12.2010г.;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электроэнергии с 27.02.2013г.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Техническое обслуживание ОДПУ осуществляет по договору на 2014г. с ООО ИК «Современные Сервисные Технологии» с оплатой услуг в размере 2200руб. в месяц.</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соответствии решением общего собрания членов ТСЖ от 28.04.2009 г. оплата за потребленные собственниками МКД тепло и воду осуществляется через расчетный счет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За индивидуальное потребление электроэнергии жильцы оплачивают непосредственно поставщику по показаниям своих индивидуальных электросчетчиков. Оплата за эл.энергию на общедомовые нужды начисляется и предъявляется к оплате на счет ТСЖ. Расходом на ОДН считается сумма, предъявляемая поставщиком как разница между показаниями ОДПУ и показаниями ИПУ, которые собственники передают поставщику самостоятельно. Согласно Акту сверки, за 2014год товариществу предъявлено и оплачено 203219 руб., начислено жильцам 230 642руб., скорректировано в уменьшение начислений по указанию ГЖИ 27420 руб.</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теплоэнерию производится по фактическим показаниям ОДПУ в течение отопительного сезона.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Состояние расчётов ТСЖ с поставщиками коммунальных услуг подтверждается актами сверки расчетов и по состоянию на 01.01.2015г. отсутствует (имеется переплата).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Текущая задолженность арендаторов общедомового имущества на конец 2014г. составила в сумме 30900руб., что на 16300руб. лучше показателя на 01.01.2014г.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состоянию на 01.01.2015г. у ТСЖ отсутствует задолженность по заработной плате, по расчётам со сторонними организациями за выполненные работы и услуги, включая техобслуживание лифтов, вывоз ТБО, и др. Это свидетельствует об устойчивом финансовом положении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состоянию на 01.01.2015г. ТСЖ «Кропоткина 116» имеет следующие безусловные расчётные активы (в руб.):</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Остаток на расчетном счете 1025566</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Целевой Фонд капитального ремонта 269089</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Остаток средств в подотчёте 50910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1345565</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Кроме того, по состоянию на 01.01.2015г. Товарищество имеет иные расчётные активы, учёт которых возможен при составлении сметы доходов и расходов на последующий период (2015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Дебиторская задолженность основных</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поставщиков и обслуживающих организаций,</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 также переплата по налоговым платежам (в руб.):</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-МУП «Горводоканал» 15642</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«Новосибирскэнергосбыт» 14575</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ООО ИК «Современные сервисные 6600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технологии»(техобслуж.ОДПУ)</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«СИБЭКО» по ГВС и отоплению 26645</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«СИБЭКО» по ГВС 25621</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Расчеты по п/н и страховым взносам 7538</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по п.4 96621</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Помимо указанных выше, в качестве активов ТСЖ по состоянию на 01.01.2015г. надлежит указать дебиторскую задолженность арендаторов общедомового имущества: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 ИП Бабаян 24000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Престиж-интернет 3000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Сибирские сети 2400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Ростелеком 1500</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(в руб.) 30900</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Средства целевого Фонда капитального ремонта, сформированного начиная с 1 августа 2014г.(5,60х 12958,6кв.м. Х 5мес) на 01.01.2015г. – 269089 руб. (перечислены на спецсчет).</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Задолженность собственников жилья</w:t>
      </w:r>
      <w:r w:rsidRPr="00B37DB2">
        <w:rPr>
          <w:rFonts w:ascii="Times New Roman" w:eastAsia="Times New Roman" w:hAnsi="Times New Roman" w:cs="Times New Roman"/>
          <w:sz w:val="27"/>
          <w:szCs w:val="27"/>
          <w:lang w:eastAsia="ru-RU"/>
        </w:rPr>
        <w:t> составила (по состоянию на 01.01.2015г.) 952582руб. и в основном является текущей. На начало проверяемого периода (01.01.2014г.) сумма задолженности была больше – 1064846 рублей. Следовательно, Правлением ТСЖ проводится работа по сокращению имеющейся дебиторской задолженности жильцов, повышается уровень ответственности жильцов за своевременную оплату за жилищные и коммунальные услуги по выставленным счетам.</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2014г. Товариществом были проведены следующие действия по вопросу возврата долгов основными должниками: в Мэрию г. Новосибирска направлены уведомления и досудебные предупреждения о необходимости оплатить задолженность по кв. 192 в сумме 81067,2 руб. и по кв. 19 в сумме 46617,95 руб. В соответствии с фактическим содержанием писем от 26.12.2014г. №№ 25/4-2988 и 25/4-2682 Мэрия согласилась погасить задолженность (за исключением пени) после изучения подтверждающих документов. В 1 квартале 2015г. истребуемые документы представлены и вопрос о погашении перечисленных долгов находится в стадии разрешения.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Исполнение сметы доходов и расходов за 2014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Смета утверждена Протоколом общего собрания членов ТСЖ "Кропоткина 116" от 16.06.2014г. и Протоколом заседания правления № б/н от 14 мая 2014г., подписана председателем Правления Филипенко А.А. и секретарём (членом Правления) Фильчаковой О.С.</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Расчеты начислений производились в соответствии с Решением общего собрания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собственников (заочное голосование) на уровне тарифов, утверждённых Приказами Департамента по тарифам НСО и определенных Решением общего собрания, а также с учётом решений, принятых на собрании Правления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u w:val="single"/>
          <w:lang w:eastAsia="ru-RU"/>
        </w:rPr>
        <w:t>Замечания и пояснения по фактическому исполнению сметы доходов и расходов ТСЖ за 2014г.:</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При подсчёте доходной части при составлении сметы не были учтены платежи за аренду общедомового имущества, которые в 2014г. составили 105900 рублей (раздел 1.1.).</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2014 году ТСЖ создан резервный фонд в сумме 54431 рублей. Указанные денежные средства не использованы. Часть 3 ст. 151 ЖК РФ указывает на необходимость целевого использования средств, составляющих специальный фонд, и предоставляет право общему собранию членов товарищества самостоятельно определить порядок образования такого фонда. При этом цели использования (расходования) таких средств должны быть прямо предусмотрены в уставе товарищества.</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доходной и в расходной части необоснованно учтены возвращенные платежи в сумме 45643 рубля. Это напрямую не повлияло на общее исполнение сметы, но изменило исполнение сметы по расходам в разрезе возвращенных платежей.</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в сумме 123085 рублей (запланировано 326304, фактически 203219) возникла по разделу «Освещение МОП» по причине завышения запланированных расходов.</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услугам банков в размере 27468 рублей относится к числу сложнопрогнозируемых.</w:t>
      </w:r>
    </w:p>
    <w:p w:rsidR="00B37DB2" w:rsidRPr="00B37DB2" w:rsidRDefault="00B37DB2" w:rsidP="00B37DB2">
      <w:pPr>
        <w:numPr>
          <w:ilvl w:val="0"/>
          <w:numId w:val="1"/>
        </w:numPr>
        <w:spacing w:after="198"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услугам обслуживания приборов учёта в сумме 15600 рублей возникла по причине завышения запланированных расходов (включение в смету незапланированных расходов по данным услугам, которых по факту не произошло).</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Перерасход по оплате услуг за вывоз снега в размере 41800 объясняется обильными снегопадами прошедшей зимы.</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разделу сметы </w:t>
      </w:r>
      <w:r w:rsidRPr="00B37DB2">
        <w:rPr>
          <w:rFonts w:ascii="Times New Roman" w:eastAsia="Times New Roman" w:hAnsi="Times New Roman" w:cs="Times New Roman"/>
          <w:sz w:val="24"/>
          <w:szCs w:val="24"/>
          <w:lang w:val="en-US" w:eastAsia="ru-RU"/>
        </w:rPr>
        <w:t>IV</w:t>
      </w:r>
      <w:r w:rsidRPr="00B37DB2">
        <w:rPr>
          <w:rFonts w:ascii="Times New Roman" w:eastAsia="Times New Roman" w:hAnsi="Times New Roman" w:cs="Times New Roman"/>
          <w:sz w:val="24"/>
          <w:szCs w:val="24"/>
          <w:lang w:eastAsia="ru-RU"/>
        </w:rPr>
        <w:t> («Капитальный ремонт») объясняется фактическим невыполнением ремонтных работ э/оборудования, запланированных в сумме 400 000 рублей.</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Из содержания сметы не усматривается конкретный перечень ремонтных работ, исполнение которых запланировано на текущий год, не указана периодичность их исполнения, примерный объём и стоимость (со ссылкой на сметную стоимость или стоимость аналогичных работ по иным объектам).</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смете отсутствует раздел об исполнении планового формирования Фонда капремонта на спецсчете (фактически сформирован).</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смете не учтены (в том числе справочно) сэкономленные (неизрасходованные и не перераспределённые) средства в предыдущих периодах (до 2014 года).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Считаем необходимым отметить, что</w:t>
      </w:r>
      <w:r w:rsidRPr="00B37DB2">
        <w:rPr>
          <w:rFonts w:ascii="Times New Roman" w:eastAsia="Times New Roman" w:hAnsi="Times New Roman" w:cs="Times New Roman"/>
          <w:sz w:val="24"/>
          <w:szCs w:val="24"/>
          <w:lang w:eastAsia="ru-RU"/>
        </w:rPr>
        <w:t>, согласно ст. 14.1. Устава ТСЖ р</w:t>
      </w:r>
      <w:r w:rsidRPr="00B37DB2">
        <w:rPr>
          <w:rFonts w:ascii="Times New Roman" w:eastAsia="Times New Roman" w:hAnsi="Times New Roman" w:cs="Times New Roman"/>
          <w:b/>
          <w:bCs/>
          <w:sz w:val="27"/>
          <w:szCs w:val="27"/>
          <w:lang w:eastAsia="ru-RU"/>
        </w:rPr>
        <w:t>уководство текущей деятельностью Товарищества</w:t>
      </w:r>
      <w:r w:rsidRPr="00B37DB2">
        <w:rPr>
          <w:rFonts w:ascii="Times New Roman" w:eastAsia="Times New Roman" w:hAnsi="Times New Roman" w:cs="Times New Roman"/>
          <w:sz w:val="27"/>
          <w:szCs w:val="27"/>
          <w:lang w:eastAsia="ru-RU"/>
        </w:rPr>
        <w:t> собственников жилья </w:t>
      </w:r>
      <w:r w:rsidRPr="00B37DB2">
        <w:rPr>
          <w:rFonts w:ascii="Times New Roman" w:eastAsia="Times New Roman" w:hAnsi="Times New Roman" w:cs="Times New Roman"/>
          <w:b/>
          <w:bCs/>
          <w:sz w:val="27"/>
          <w:szCs w:val="27"/>
          <w:lang w:eastAsia="ru-RU"/>
        </w:rPr>
        <w:t>осуществляется Правлением Товарищества</w:t>
      </w:r>
      <w:r w:rsidRPr="00B37DB2">
        <w:rPr>
          <w:rFonts w:ascii="Times New Roman" w:eastAsia="Times New Roman" w:hAnsi="Times New Roman" w:cs="Times New Roman"/>
          <w:sz w:val="27"/>
          <w:szCs w:val="27"/>
          <w:lang w:eastAsia="ru-RU"/>
        </w:rPr>
        <w:t> во главе с председателем правления. Правление Товарищества вправе принимать решения по всем вопросам деятельности Товарищества, за исключением вопросов, отнесённых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соответствии со ст. 14.8. Устава ТСЖ в обязанности Правления входит:</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обеспечение соблюдения Товариществом действующего законодательства и требований Устава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оперативное руководство текущей деятельностью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контроль за своевременным внесением установленных коммунальных платежей и взносов;</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 организация содержания переданного в управление Товариществу общего имущества в многоквартирном доме в соответствии с требованиями </w:t>
      </w:r>
      <w:r w:rsidRPr="00B37DB2">
        <w:rPr>
          <w:rFonts w:ascii="Times New Roman" w:eastAsia="Times New Roman" w:hAnsi="Times New Roman" w:cs="Times New Roman"/>
          <w:sz w:val="27"/>
          <w:szCs w:val="27"/>
          <w:lang w:eastAsia="ru-RU"/>
        </w:rPr>
        <w:lastRenderedPageBreak/>
        <w:t>технических регламентов и установленных Правительством Российской Федерации правил содержания общего имущества в многоквартирном доме, осуществление проверок, осмотров, мониторинга технического состояния общего имущества;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 на основании мониторинга технического состояния общего имущества дома осуществление подготовки и представление общему собранию собственников помещений дома информации по вопросам физического износа общего имущества дома для принятия собранием собственников помещений в доме решения о проведении капитального и текущего ремонта общего имущества в доме, условиях их оказания и выполнения, а также о размерах их финансирования на соответствующий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 составление смет доходов и расходов на соответствующий год и отчётов о финансовой деятельности, представление их общему собранию членов Товарищества для утверждения;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реализация мероприятий по ресурсосбережению.</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Решения правления Товарищества собственников жилья оформляются протоколом, который подписывают председатель правления и секретарь, и которые хранятся в правлении Товарищества бессрочно.</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Вышеперечисленные нормы права свидетельствуют о том, что Правлению ТСЖ необходимо активнее участвовать в решении насущных вопросов финансово-хозяйственной деятельности ТСЖ «Кропоткина 116» (в том числе при решении вопросов, указанных в настоящем акте).</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По смете доходов и расходов ТСЖ «Кропоткина 116» на 2015 год:</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Согласно п.9.3.3 и п.13.4. Устава Товарищества, на 2015 год Правление Товарищества должно было разработать подробную Смету расходов на управление многоквартирным домом, которую общее собрание членов Товарищества должно было утвердить.</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Ревизия финансовой деятельности товарищества представляет собой систему обязательных контрольных действий по документальной и фактической проверке законности и обоснованности совершенных товариществом в ревизуемом периоде хозяйственных и финансовых операций, правильности их отражения в бухгалтерском учете и отчетности, а также законности действий правления товарищества, председателя правления товарищества и работников товарищества, которые ответственны за их осуществление.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комиссия (ревизор) товарищества при осуществлении ревизии финансовой деятельности товарищества может проводить проверку такой деятельности, к примеру, проверяя: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соответствие осуществляемой товариществом деятельности его уставу;</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исполнение правлением товарищества смет расходов;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использование средств товарищества по целевому назначению;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обеспечение сохранности денежных средств и материальных ценностей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соблюдение финансовой дисциплины, правильность ведения бухгалтерского учета и составление отчетности;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 обоснованность операций с денежными средствами, расчетных и кредитных операций;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полноту и своевременность уплаты товариществом налогов;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обоснованность произведенных затрат, связанных с текущей деятельностью, и затрат капитального характера.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Соответственно ревизия финансовой деятельности товарищества может проводиться путем осуществления: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плановых, отчетных, бухгалтерских и других документов по форме и содержанию в целях установления обоснованности и правильности произведенных операций;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организации процедур фактического контроля за наличием и движением материальных ценностей и денежных средств, правильностью формирования затрат, достоверностью объемов выполненных работ и оказанных услуг, обеспечением сохранности денежных средств и материальных ценностей;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использования дополнительных доходов от хозяйственной деятельности товарищества, средств специальных фондов.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комиссия (ревизор), исходя из целей ревизии, самостоятельно определяет необходимость и возможность применения тех или иных ревизионных действий, приемов и способов получения информации, аналитических процедур, объем выборки данных из проверяемой совокупности материалов, обеспечивающий надежную возможность сбора требуемых сведений и доказательств. При этом о результатах ревизии члены ревизионной комиссии (ревизор) должны отчитываться перед общим собранием членов товарищества с представлением рекомендаций по устранению выявленных нарушений. Такая обязанность ревизионной комиссии (ревизора) товарищества предусмотрена п. 3 ч. 3 статьи 150 ЖК РФ. В частности, результаты ревизий должны оформляться актом, который подписывается председателем ревизионной комиссии (ревизором) товарищества, а при необходимости - и членами ревизионной комиссии товарищества и представляется правлению товарищества, общему собранию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соответствии с п. 2 ч. 3 статьи 150 ЖК РФ на ревизионную комиссию (ревизора) товарищества возложена также обязанность представлять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При этом полагаю, что понятие «соответствующий год» не следует истолковывать расширенно, по собственному усмотрению.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Вместе с тем обязанность по составлению отчета о финансовой деятельности и его представлению общему собранию членов товарищества для утверждения ст. 148 ЖК РФ возложена на Правление товарищества, что представляется достаточно обоснованным, поскольку </w:t>
      </w:r>
      <w:r w:rsidRPr="00B37DB2">
        <w:rPr>
          <w:rFonts w:ascii="Times New Roman" w:eastAsia="Times New Roman" w:hAnsi="Times New Roman" w:cs="Times New Roman"/>
          <w:b/>
          <w:bCs/>
          <w:sz w:val="27"/>
          <w:szCs w:val="27"/>
          <w:lang w:eastAsia="ru-RU"/>
        </w:rPr>
        <w:t>именно Правление как исполнительный орган управления товариществом осуществляет финансовое планирование и расходование средств в соответствии с утвержденной общим собранием членов товарищества сметой (годовым планом финансовой деятельности)</w:t>
      </w:r>
      <w:r w:rsidRPr="00B37DB2">
        <w:rPr>
          <w:rFonts w:ascii="Times New Roman" w:eastAsia="Times New Roman" w:hAnsi="Times New Roman" w:cs="Times New Roman"/>
          <w:sz w:val="27"/>
          <w:szCs w:val="27"/>
          <w:lang w:eastAsia="ru-RU"/>
        </w:rPr>
        <w:t>. Ревизионная комиссия (ревизор) товарищества не является органом управления товариществом и соответственно не совершает от имени товарищества действия, изменяющие в той или иной степени его финансовые обязательства. Поэтому ревизионная комиссия (ревизор) не может отчитываться за финансовую деятельность товарищества, а может только проверить такую деятельность и, подготовив соответствующее заключение, представить его на рассмотрение общему собранию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По сути, рекомендации</w:t>
      </w:r>
      <w:r w:rsidRPr="00B37DB2">
        <w:rPr>
          <w:rFonts w:ascii="Times New Roman" w:eastAsia="Times New Roman" w:hAnsi="Times New Roman" w:cs="Times New Roman"/>
          <w:sz w:val="27"/>
          <w:szCs w:val="27"/>
          <w:lang w:eastAsia="ru-RU"/>
        </w:rPr>
        <w:t> по свободной смете доходов и расходов ТСЖ на 2015г. следующие: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Учитывать замечания к фактическому исполнению сметы доходов и расходов ТСЖ за 2014 год, изложенные в настоящем акте ревизии;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В проекте сметы текущее содержание, ремонт, техобслуживание лифтов, вывоз ТБО запланированы в общей сумме, что, по сути, не способствует контролю за целевым использованием средств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Из содержания сметы не усматривается конкретный перечень ремонтных работ, исполнение которых запланировано на текущий год, не указана периодичность их исполнения, примерный объём и стоимость (со ссылкой на сметную стоимость или стоимость аналогичных работ по иным объектам).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В смете отсутствует раздел об исполнении планового формирования Фонда капремонта на спецсчете (фактически сформирован).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 В смете не учтены (в том числе справочно) сэкономленные (неизрасходованные и не перераспределённые) средства (расчётные активы и приравненные к ним) в предыдущих периодах (до 2015 года) и, соответственно, не запланировано их использование в деятельности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 Указать в смете доходов и расходов за 2015 год планируемый объем обеспечения собственников коммунальными услугами (по видам услуг).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Проанализировав деятельность ТСЖ «Кропоткина 116» </w:t>
      </w:r>
      <w:r w:rsidRPr="00B37DB2">
        <w:rPr>
          <w:rFonts w:ascii="Times New Roman" w:eastAsia="Times New Roman" w:hAnsi="Times New Roman" w:cs="Times New Roman"/>
          <w:sz w:val="27"/>
          <w:szCs w:val="27"/>
          <w:u w:val="single"/>
          <w:lang w:eastAsia="ru-RU"/>
        </w:rPr>
        <w:t>рекомендуем общему собранию ТСЖ признать деятельность Правления ТСЖ в проверяемом периоде удовлетворительной.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то же время считаем необходимым указать Правлению ТСЖ на недопустимость выявленных ревизией нарушений в дальнейшем.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Правлению ТСЖ принять во внимание и к исполнению следующие рекомендации: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1. Проводить предупредительную работу с жильцами о необходимости своевременной оплаты коммунальных и иных платежей, объяснять </w:t>
      </w:r>
      <w:r w:rsidRPr="00B37DB2">
        <w:rPr>
          <w:rFonts w:ascii="Times New Roman" w:eastAsia="Times New Roman" w:hAnsi="Times New Roman" w:cs="Times New Roman"/>
          <w:sz w:val="27"/>
          <w:szCs w:val="27"/>
          <w:lang w:eastAsia="ru-RU"/>
        </w:rPr>
        <w:lastRenderedPageBreak/>
        <w:t>распределение расходов по перерасходу потребления холодной воды и возможность специального расследования с привлечением соответствующих специалистов.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В случае наличия постоянной задолженности жильцов по коммунальным платежам (более трёх месяцев) после направления неплательщикам претензионных писем обращаться в суд с иском по принудительному взысканию долгов с жильцов.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Имеющиеся у ТСЖ расчётные активы (и приравненные к ним) в общей сумме 1 442 186 рублей, необходимо учитывать при составлении сметы доходов и расходов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 общем собрании членов товарищества необходимо определить целевой расход указанной суммы неизрасходованных средств. В обычных случаях данные суммы по большей части (по целевым) возвращают жильцам путём проведения перерасчёта. Ревизионная комиссия рекомендует использовать указанные активы для финансирования замены лифтов в соответствии с Решением Городского совета Новосибирска от 23 ноября 2004 года N 500 «О Программе замены и модернизации лифтов жилищного фонда в городе Новосибирске на 2005 - 2015 гг.» (с изменениями на 22 октября 2014 года).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Рекомендуем проведение комплекса мероприятий, направленных на систематизацию расчетов собственниками жилпомещений за ГВС и ХВС по установленным водосчетчикам: при увеличении количества установленных водосчетчиков катастрофически возрастает дефицит бюджета ТСЖ по расчетам за водоснабжение, что может быть вызвано несанкционированным забором воды (мошенничеством) отдельными жильцами, неисправностью отдельных водосчетчиков или иными причинами. Полив водой территории в летний период к данной причине отношения не имеет: об этом свидетельствует перерасход по оплате за ХВС в первые 4 месяца 2015 года.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 Просим Правление обратить особое внимание на расходы по освещению мест общего пользования, так как их величина усматривается ревизионной комиссией чрезмерной, и провести мероприятия для установления её обоснованности.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 Необходимо изучить вопрос о порядке определения размера платы на содержание и ремонт общего имущества для нежилого помещения площадью 217.6кв.м. Так же поступить при определении размера платы на текущий и капитальный ремонт.</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 Приказом Минрегиона РФ от 19.09.2011г. в соответствии с требованиями п.п..п. «б» и п.п. «е» пункта 69 Правил № 354 принята единая форма платежного документа для внесения платы за содержание и ремонт жилого помещения в предоставления коммунальных услуг, в которой с 01.01.2014г. согласно требованию ст.154 ЖК текущее содержание, ремонт, содержание лифтов, вывоз ТБО были объединены в «содержание и ремонт общего имущества в многоквартирном доме». Считаем целесообразным рекомендовать такую форму расчётного документа, в которой суммы за указанные платежи были отражены отдельно (постатейно): платежи по вывозу ТБО, по обслуживанию лифтов и т.п., а также в случае проведения перерасчётов – по соответствующим разделам квитанций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8. Рассмотреть вопрос целесообразности приобретения бухгалтерского программного обеспечения. В том случае, если использование данной программы позволит существенно облегчить составление необходимых для бухгалтерского и налогового учёта документов, обеспечит доступность и оперативность получения информации, решение о целесообразности применения программного обеспечения необходимо принимать с учётом стоимости её приобретения и расходов по обслуживанию.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 Все виды инструментов и инвентаря, числящиеся на балансе Товарищества (сверлильный станок, сварочный аппарат, прочие инструменты и оборудование) обозначить списком с указанием даты изготовления, технического состояния и обеспечить в свободный доступ.</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Настоящий отчет на 15 листах составлен и подписан в двух экземплярах, один из которых передан в правление ТСЖ, второй остается в ревизионной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ПОДПИСАНО РЕВИЗИОННОЙ КОМИССИЕЙ В СОСТАВЕ: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ревизионной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Грибанов П.В.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Члены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Огородова И.В.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Юдина 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 результатами ревизионной проверки ознакомлены:</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случае наличия возражений – обозначить и представить в месячный срок)</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Правления ТСЖ Филипенко А.А.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Бухгалтер Кладова Г.И.</w:t>
      </w:r>
    </w:p>
    <w:p w:rsidR="005B4F85" w:rsidRDefault="00106D7B"/>
    <w:sectPr w:rsidR="005B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7749"/>
    <w:multiLevelType w:val="multilevel"/>
    <w:tmpl w:val="F666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2"/>
    <w:rsid w:val="00036B6A"/>
    <w:rsid w:val="00106D7B"/>
    <w:rsid w:val="003355FF"/>
    <w:rsid w:val="00B3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9C5EE-5302-4628-A1A6-4889257B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7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7DB2"/>
    <w:rPr>
      <w:color w:val="0000FF"/>
      <w:u w:val="single"/>
    </w:rPr>
  </w:style>
  <w:style w:type="paragraph" w:styleId="a4">
    <w:name w:val="Normal (Web)"/>
    <w:basedOn w:val="a"/>
    <w:uiPriority w:val="99"/>
    <w:unhideWhenUsed/>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DB2"/>
  </w:style>
  <w:style w:type="paragraph" w:customStyle="1" w:styleId="western">
    <w:name w:val="western"/>
    <w:basedOn w:val="a"/>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 Ятченко</cp:lastModifiedBy>
  <cp:revision>2</cp:revision>
  <dcterms:created xsi:type="dcterms:W3CDTF">2017-03-23T20:41:00Z</dcterms:created>
  <dcterms:modified xsi:type="dcterms:W3CDTF">2018-10-17T10:39:00Z</dcterms:modified>
</cp:coreProperties>
</file>